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33" w:rsidRDefault="007C5A33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4387850" cy="12141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5A33" w:rsidRDefault="007C5A33" w:rsidP="007C5A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5C1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PLYM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OUTH SAFEGUARDING CHILDREN PARTNERSHIP</w:t>
                            </w:r>
                          </w:p>
                          <w:p w:rsidR="007C5A33" w:rsidRDefault="007C5A33" w:rsidP="007C5A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C5A33" w:rsidRDefault="00025961" w:rsidP="007C5A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Seriou</w:t>
                            </w:r>
                            <w:r w:rsidR="004E6D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 Case Review Learning:  Child WR</w:t>
                            </w:r>
                          </w:p>
                          <w:p w:rsidR="007C5A33" w:rsidRDefault="007C5A33" w:rsidP="007C5A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C5A33" w:rsidRDefault="007C5A33" w:rsidP="007C5A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pt;margin-top:0;width:345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+WTQAIAAHoEAAAOAAAAZHJzL2Uyb0RvYy54bWysVE1v2zAMvQ/YfxB0Xxyn6ceCOEWWosOA&#10;oi3QDD0rspwYkEVNUmJ3v35PstNm3U7DLjJFUvx4j/T8ums0OyjnazIFz0djzpSRVNZmW/Dv69tP&#10;V5z5IEwpNBlV8Bfl+fXi44d5a2dqQjvSpXIMQYyftbbguxDsLMu83KlG+BFZZWCsyDUi4Oq2WelE&#10;i+iNzibj8UXWkiutI6m8h/amN/JFil9VSoaHqvIqMF1w1BbS6dK5iWe2mIvZ1gm7q+VQhviHKhpR&#10;GyR9DXUjgmB7V/8RqqmlI09VGElqMqqqWqrUA7rJx++6edoJq1IvAMfbV5j8/wsr7w+PjtUluOPM&#10;iAYUrVUX2BfqWB7Raa2fwenJwi10UEfPQe+hjE13lWviF+0w2IHzyyu2MZiEcnp2dXl1DpOELZ/k&#10;03yS0M/enlvnw1dFDYtCwR3IS5iKw50PSAnXo0vM5knX5W2tdbrEgVEr7dhBgGodUpF48ZuXNqwt&#10;+MUZ6oiPDMXnfWRtkCA22zcVpdBtuqHTDZUvAMBRP0DeytsaRd4JHx6Fw8SgMWxBeMBRaUISGiTO&#10;duR+/k0f/UEkrJy1mMCC+x974RRn+psBxZ/z6TSObLpMzy+BF3Onls2pxeybFaFz0Ijqkhj9gz6K&#10;laPmGcuyjFlhEkYid8HDUVyFfi+wbFItl8kJQ2pFuDNPVsbQEbRIwbp7Fs4OPAVQfE/HWRWzd3T1&#10;vj3cy32gqk5cRoB7VAfcMeCJ4mEZ4wad3pPX2y9j8QsAAP//AwBQSwMEFAAGAAgAAAAhACqlezXe&#10;AAAACAEAAA8AAABkcnMvZG93bnJldi54bWxMT01PwzAMvSPtP0SexAWxtJsYpTSdEOJD4sa6gbhl&#10;jWkrGqdqsrb8e7wTu1h+ftb7yDaTbcWAvW8cKYgXEQik0pmGKgW74vk6AeGDJqNbR6jgFz1s8tlF&#10;plPjRnrHYRsqwSLkU62gDqFLpfRljVb7heuQmPt2vdWBYV9J0+uRxW0rl1G0llY3xA617vCxxvJn&#10;e7QKvq6qzzc/vezH1c2qe3oditsPUyh1OZ8e7kEEnML/M5zic3TIOdPBHcl40TK+i7hLUMCT6SSJ&#10;eTmc7vESZJ7J8wL5HwAAAP//AwBQSwECLQAUAAYACAAAACEAtoM4kv4AAADhAQAAEwAAAAAAAAAA&#10;AAAAAAAAAAAAW0NvbnRlbnRfVHlwZXNdLnhtbFBLAQItABQABgAIAAAAIQA4/SH/1gAAAJQBAAAL&#10;AAAAAAAAAAAAAAAAAC8BAABfcmVscy8ucmVsc1BLAQItABQABgAIAAAAIQD5H+WTQAIAAHoEAAAO&#10;AAAAAAAAAAAAAAAAAC4CAABkcnMvZTJvRG9jLnhtbFBLAQItABQABgAIAAAAIQAqpXs13gAAAAgB&#10;AAAPAAAAAAAAAAAAAAAAAJoEAABkcnMvZG93bnJldi54bWxQSwUGAAAAAAQABADzAAAApQUAAAAA&#10;" fillcolor="white [3201]" stroked="f" strokeweight=".5pt">
                <v:textbox>
                  <w:txbxContent>
                    <w:p w:rsidR="007C5A33" w:rsidRDefault="007C5A33" w:rsidP="007C5A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A5C1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PLYM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OUTH SAFEGUARDING CHILDREN PARTNERSHIP</w:t>
                      </w:r>
                    </w:p>
                    <w:p w:rsidR="007C5A33" w:rsidRDefault="007C5A33" w:rsidP="007C5A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C5A33" w:rsidRDefault="00025961" w:rsidP="007C5A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Seriou</w:t>
                      </w:r>
                      <w:r w:rsidR="004E6D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 Case Review Learning:  Child WR</w:t>
                      </w:r>
                    </w:p>
                    <w:p w:rsidR="007C5A33" w:rsidRDefault="007C5A33" w:rsidP="007C5A3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C5A33" w:rsidRDefault="007C5A33" w:rsidP="007C5A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71EB">
        <w:rPr>
          <w:rFonts w:ascii="Arial" w:hAnsi="Arial" w:cs="Arial"/>
          <w:noProof/>
          <w:color w:val="000000" w:themeColor="text1"/>
          <w:sz w:val="32"/>
          <w:lang w:eastAsia="en-GB"/>
        </w:rPr>
        <w:drawing>
          <wp:inline distT="0" distB="0" distL="0" distR="0" wp14:anchorId="428529F4" wp14:editId="09A75A33">
            <wp:extent cx="1123950" cy="1214591"/>
            <wp:effectExtent l="0" t="0" r="0" b="5080"/>
            <wp:docPr id="2" name="Picture 2" descr="C:\Users\wilsonc\Desktop\PSC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sonc\Desktop\PSC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58" cy="122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A3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:rsidR="007C5A33" w:rsidRDefault="007C5A33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91569" w:rsidRDefault="00E91569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25643" w:rsidRDefault="00725643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The following case is a Plymouth Serio</w:t>
      </w:r>
      <w:r w:rsidR="004E6DE4">
        <w:rPr>
          <w:rFonts w:ascii="Arial" w:hAnsi="Arial" w:cs="Arial"/>
          <w:bCs/>
          <w:color w:val="000000" w:themeColor="text1"/>
          <w:sz w:val="20"/>
          <w:szCs w:val="20"/>
        </w:rPr>
        <w:t>us Case Review published in 2020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The case relates to </w:t>
      </w:r>
      <w:r w:rsidR="004E6DE4">
        <w:rPr>
          <w:rFonts w:ascii="Arial" w:hAnsi="Arial" w:cs="Arial"/>
          <w:bCs/>
          <w:color w:val="000000" w:themeColor="text1"/>
          <w:sz w:val="20"/>
          <w:szCs w:val="20"/>
        </w:rPr>
        <w:t>Child WR</w:t>
      </w:r>
      <w:r w:rsidR="00CB648B">
        <w:rPr>
          <w:rFonts w:ascii="Arial" w:hAnsi="Arial" w:cs="Arial"/>
          <w:bCs/>
          <w:color w:val="000000" w:themeColor="text1"/>
          <w:sz w:val="20"/>
          <w:szCs w:val="20"/>
        </w:rPr>
        <w:t>, a secondary school age male</w:t>
      </w:r>
      <w:r w:rsidR="00F3712F">
        <w:rPr>
          <w:rFonts w:ascii="Arial" w:hAnsi="Arial" w:cs="Arial"/>
          <w:bCs/>
          <w:color w:val="000000" w:themeColor="text1"/>
          <w:sz w:val="20"/>
          <w:szCs w:val="20"/>
        </w:rPr>
        <w:t xml:space="preserve">, and the following tells his experiences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through servic</w:t>
      </w:r>
      <w:r w:rsidR="00705AD4">
        <w:rPr>
          <w:rFonts w:ascii="Arial" w:hAnsi="Arial" w:cs="Arial"/>
          <w:bCs/>
          <w:color w:val="000000" w:themeColor="text1"/>
          <w:sz w:val="20"/>
          <w:szCs w:val="20"/>
        </w:rPr>
        <w:t>es.</w:t>
      </w:r>
    </w:p>
    <w:p w:rsidR="00AF74D0" w:rsidRDefault="00AF74D0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CA13B7" w:rsidRDefault="00CB648B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0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Case </w:t>
      </w:r>
      <w:proofErr w:type="gramStart"/>
      <w:r w:rsidRPr="006D50C3">
        <w:rPr>
          <w:rFonts w:ascii="Arial" w:hAnsi="Arial" w:cs="Arial"/>
          <w:b/>
          <w:bCs/>
          <w:color w:val="000000" w:themeColor="text1"/>
          <w:sz w:val="20"/>
          <w:szCs w:val="20"/>
        </w:rPr>
        <w:t>Summary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Child WR</w:t>
      </w:r>
      <w:r w:rsidR="00AF74D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lived with his maternal grandparents. He had lived with them since he was a very young child. His birth mother struggled to care for him as she tried to cope with her own alcohol issues and had n</w:t>
      </w:r>
      <w:r w:rsidR="00CA13B7">
        <w:rPr>
          <w:rFonts w:ascii="Arial" w:hAnsi="Arial" w:cs="Arial"/>
          <w:bCs/>
          <w:color w:val="000000" w:themeColor="text1"/>
          <w:sz w:val="20"/>
          <w:szCs w:val="20"/>
        </w:rPr>
        <w:t xml:space="preserve">o further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involvement in his upbringing</w:t>
      </w:r>
      <w:r w:rsidR="00CA13B7">
        <w:rPr>
          <w:rFonts w:ascii="Arial" w:hAnsi="Arial" w:cs="Arial"/>
          <w:bCs/>
          <w:color w:val="000000" w:themeColor="text1"/>
          <w:sz w:val="20"/>
          <w:szCs w:val="20"/>
        </w:rPr>
        <w:t xml:space="preserve"> once he went to live with his grandparents. </w:t>
      </w:r>
    </w:p>
    <w:p w:rsidR="00CA13B7" w:rsidRDefault="00CA13B7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14672" w:rsidRDefault="00CA13B7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Child WR’s grandparents provided a se</w:t>
      </w:r>
      <w:r w:rsidR="00705AD4">
        <w:rPr>
          <w:rFonts w:ascii="Arial" w:hAnsi="Arial" w:cs="Arial"/>
          <w:bCs/>
          <w:color w:val="000000" w:themeColor="text1"/>
          <w:sz w:val="20"/>
          <w:szCs w:val="20"/>
        </w:rPr>
        <w:t xml:space="preserve">cure, loving and nurturing home. </w:t>
      </w:r>
      <w:r w:rsidR="00314672">
        <w:rPr>
          <w:rFonts w:ascii="Arial" w:hAnsi="Arial" w:cs="Arial"/>
          <w:bCs/>
          <w:color w:val="000000" w:themeColor="text1"/>
          <w:sz w:val="20"/>
          <w:szCs w:val="20"/>
        </w:rPr>
        <w:t>He was part of a large extended family with other children living in the household. He had an older sibling who he had a very close relationship with.</w:t>
      </w:r>
    </w:p>
    <w:p w:rsidR="00314672" w:rsidRDefault="00314672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F74D0" w:rsidRDefault="002A562E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WR </w:t>
      </w:r>
      <w:r w:rsidR="00314672">
        <w:rPr>
          <w:rFonts w:ascii="Arial" w:hAnsi="Arial" w:cs="Arial"/>
          <w:bCs/>
          <w:color w:val="000000" w:themeColor="text1"/>
          <w:sz w:val="20"/>
          <w:szCs w:val="20"/>
        </w:rPr>
        <w:t>attended special schools for all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of his school life and was diagnosed with </w:t>
      </w:r>
      <w:r w:rsidR="00314672">
        <w:rPr>
          <w:rFonts w:ascii="Arial" w:hAnsi="Arial" w:cs="Arial"/>
          <w:bCs/>
          <w:color w:val="000000" w:themeColor="text1"/>
          <w:sz w:val="20"/>
          <w:szCs w:val="20"/>
        </w:rPr>
        <w:t>attention deficit disorder,</w:t>
      </w:r>
      <w:r w:rsidR="00933904">
        <w:rPr>
          <w:rFonts w:ascii="Arial" w:hAnsi="Arial" w:cs="Arial"/>
          <w:bCs/>
          <w:color w:val="000000" w:themeColor="text1"/>
          <w:sz w:val="20"/>
          <w:szCs w:val="20"/>
        </w:rPr>
        <w:t xml:space="preserve"> autistic spectrum disorder, </w:t>
      </w:r>
      <w:r w:rsidR="00314672">
        <w:rPr>
          <w:rFonts w:ascii="Arial" w:hAnsi="Arial" w:cs="Arial"/>
          <w:bCs/>
          <w:color w:val="000000" w:themeColor="text1"/>
          <w:sz w:val="20"/>
          <w:szCs w:val="20"/>
        </w:rPr>
        <w:t>foetal alcohol syndrome</w:t>
      </w:r>
      <w:r w:rsidR="00933904">
        <w:rPr>
          <w:rFonts w:ascii="Arial" w:hAnsi="Arial" w:cs="Arial"/>
          <w:bCs/>
          <w:color w:val="000000" w:themeColor="text1"/>
          <w:sz w:val="20"/>
          <w:szCs w:val="20"/>
        </w:rPr>
        <w:t xml:space="preserve"> and mild learning disability</w:t>
      </w:r>
      <w:r w:rsidR="00314672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Those who knew WR described him as highly volatile and impulsive. The main worries</w:t>
      </w:r>
      <w:r w:rsidR="006D50C3">
        <w:rPr>
          <w:rFonts w:ascii="Arial" w:hAnsi="Arial" w:cs="Arial"/>
          <w:bCs/>
          <w:color w:val="000000" w:themeColor="text1"/>
          <w:sz w:val="20"/>
          <w:szCs w:val="20"/>
        </w:rPr>
        <w:t xml:space="preserve"> for school and grandparents were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WRs impulsivity and his lack of awareness of consequences. </w:t>
      </w:r>
    </w:p>
    <w:p w:rsidR="002A562E" w:rsidRDefault="002A562E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2A562E" w:rsidRDefault="002A562E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WR enjoyed school and was well liked by his teachers</w:t>
      </w:r>
      <w:r w:rsidR="006D50C3">
        <w:rPr>
          <w:rFonts w:ascii="Arial" w:hAnsi="Arial" w:cs="Arial"/>
          <w:bCs/>
          <w:color w:val="000000" w:themeColor="text1"/>
          <w:sz w:val="20"/>
          <w:szCs w:val="20"/>
        </w:rPr>
        <w:t xml:space="preserve">. He could also be loving and caring towards his family and wanted to be helpful to his grandparents. </w:t>
      </w:r>
      <w:r w:rsidR="00933904">
        <w:rPr>
          <w:rFonts w:ascii="Arial" w:hAnsi="Arial" w:cs="Arial"/>
          <w:bCs/>
          <w:color w:val="000000" w:themeColor="text1"/>
          <w:sz w:val="20"/>
          <w:szCs w:val="20"/>
        </w:rPr>
        <w:t xml:space="preserve">He had a circle of friends in school and the community. </w:t>
      </w:r>
    </w:p>
    <w:p w:rsidR="00AF74D0" w:rsidRDefault="00AF74D0" w:rsidP="00725643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C5A33" w:rsidRDefault="006D50C3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WR would often go missing i.e. in a three year period </w:t>
      </w:r>
      <w:r w:rsidR="00933904">
        <w:rPr>
          <w:rFonts w:ascii="Arial" w:hAnsi="Arial" w:cs="Arial"/>
          <w:bCs/>
          <w:color w:val="000000" w:themeColor="text1"/>
          <w:sz w:val="20"/>
          <w:szCs w:val="20"/>
        </w:rPr>
        <w:t xml:space="preserve">he was reported missing nearly 50 times. Police received a significant level of concerns about WR from a young age mainly involving </w:t>
      </w:r>
      <w:r w:rsidR="00E91569">
        <w:rPr>
          <w:rFonts w:ascii="Arial" w:hAnsi="Arial" w:cs="Arial"/>
          <w:bCs/>
          <w:color w:val="000000" w:themeColor="text1"/>
          <w:sz w:val="20"/>
          <w:szCs w:val="20"/>
        </w:rPr>
        <w:t xml:space="preserve">low level theft, </w:t>
      </w:r>
      <w:r w:rsidR="00933904">
        <w:rPr>
          <w:rFonts w:ascii="Arial" w:hAnsi="Arial" w:cs="Arial"/>
          <w:bCs/>
          <w:color w:val="000000" w:themeColor="text1"/>
          <w:sz w:val="20"/>
          <w:szCs w:val="20"/>
        </w:rPr>
        <w:t>anti-social</w:t>
      </w:r>
      <w:r w:rsidR="00E9156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7602F">
        <w:rPr>
          <w:rFonts w:ascii="Arial" w:hAnsi="Arial" w:cs="Arial"/>
          <w:bCs/>
          <w:color w:val="000000" w:themeColor="text1"/>
          <w:sz w:val="20"/>
          <w:szCs w:val="20"/>
        </w:rPr>
        <w:t>behaviour and being found with</w:t>
      </w:r>
      <w:r w:rsidR="00E91569">
        <w:rPr>
          <w:rFonts w:ascii="Arial" w:hAnsi="Arial" w:cs="Arial"/>
          <w:bCs/>
          <w:color w:val="000000" w:themeColor="text1"/>
          <w:sz w:val="20"/>
          <w:szCs w:val="20"/>
        </w:rPr>
        <w:t xml:space="preserve"> adults known to be a risk because of their own links to drug use and sexual offending. </w:t>
      </w:r>
    </w:p>
    <w:p w:rsidR="001C4AA8" w:rsidRDefault="001C4AA8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C4AA8" w:rsidRPr="00E91569" w:rsidRDefault="00E91569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Following a police investigation Child WR was c</w:t>
      </w:r>
      <w:r w:rsidR="00C604AB">
        <w:rPr>
          <w:rFonts w:ascii="Arial" w:hAnsi="Arial" w:cs="Arial"/>
          <w:bCs/>
          <w:color w:val="000000" w:themeColor="text1"/>
          <w:sz w:val="20"/>
          <w:szCs w:val="20"/>
        </w:rPr>
        <w:t xml:space="preserve">onvicted for sexual assaults on a number of </w:t>
      </w:r>
      <w:r w:rsidR="00C8603B">
        <w:rPr>
          <w:rFonts w:ascii="Arial" w:hAnsi="Arial" w:cs="Arial"/>
          <w:bCs/>
          <w:color w:val="000000" w:themeColor="text1"/>
          <w:sz w:val="20"/>
          <w:szCs w:val="20"/>
        </w:rPr>
        <w:t xml:space="preserve">much </w:t>
      </w:r>
      <w:r w:rsidR="00E92AD5">
        <w:rPr>
          <w:rFonts w:ascii="Arial" w:hAnsi="Arial" w:cs="Arial"/>
          <w:bCs/>
          <w:color w:val="000000" w:themeColor="text1"/>
          <w:sz w:val="20"/>
          <w:szCs w:val="20"/>
        </w:rPr>
        <w:t xml:space="preserve">younger children. </w:t>
      </w:r>
      <w:r w:rsidR="00C604AB">
        <w:rPr>
          <w:rFonts w:ascii="Arial" w:hAnsi="Arial" w:cs="Arial"/>
          <w:bCs/>
          <w:color w:val="000000" w:themeColor="text1"/>
          <w:sz w:val="20"/>
          <w:szCs w:val="20"/>
        </w:rPr>
        <w:t>The chro</w:t>
      </w:r>
      <w:r w:rsidR="00440FFD">
        <w:rPr>
          <w:rFonts w:ascii="Arial" w:hAnsi="Arial" w:cs="Arial"/>
          <w:bCs/>
          <w:color w:val="000000" w:themeColor="text1"/>
          <w:sz w:val="20"/>
          <w:szCs w:val="20"/>
        </w:rPr>
        <w:t>nology below details the sequence of harmful sexual behaviour incidents.</w:t>
      </w:r>
      <w:r w:rsidR="00E92AD5">
        <w:rPr>
          <w:rFonts w:ascii="Arial" w:hAnsi="Arial" w:cs="Arial"/>
          <w:bCs/>
          <w:color w:val="000000" w:themeColor="text1"/>
          <w:sz w:val="20"/>
          <w:szCs w:val="20"/>
        </w:rPr>
        <w:t xml:space="preserve"> Dates and ages have not been included to support anonymity. </w:t>
      </w: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4E7EC2" w:rsidRDefault="004E7EC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4E7EC2" w:rsidRDefault="004E7EC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25961" w:rsidRDefault="0002596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71"/>
        <w:tblW w:w="11199" w:type="dxa"/>
        <w:tblLook w:val="04A0" w:firstRow="1" w:lastRow="0" w:firstColumn="1" w:lastColumn="0" w:noHBand="0" w:noVBand="1"/>
      </w:tblPr>
      <w:tblGrid>
        <w:gridCol w:w="2618"/>
        <w:gridCol w:w="8581"/>
      </w:tblGrid>
      <w:tr w:rsidR="008626B1" w:rsidRPr="004814BA" w:rsidTr="00E92AD5">
        <w:tc>
          <w:tcPr>
            <w:tcW w:w="11199" w:type="dxa"/>
            <w:gridSpan w:val="2"/>
            <w:shd w:val="clear" w:color="auto" w:fill="D9D9D9" w:themeFill="background1" w:themeFillShade="D9"/>
          </w:tcPr>
          <w:p w:rsidR="008626B1" w:rsidRPr="008626B1" w:rsidRDefault="00753910" w:rsidP="004E7EC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Chronology of Harmful Sexual Behaviour Incidents </w:t>
            </w:r>
          </w:p>
          <w:p w:rsidR="008626B1" w:rsidRPr="004814BA" w:rsidRDefault="008626B1" w:rsidP="004E7E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626B1" w:rsidTr="004E7EC2">
        <w:tc>
          <w:tcPr>
            <w:tcW w:w="2618" w:type="dxa"/>
          </w:tcPr>
          <w:p w:rsidR="008626B1" w:rsidRPr="004814BA" w:rsidRDefault="0007602F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First Incident </w:t>
            </w:r>
          </w:p>
        </w:tc>
        <w:tc>
          <w:tcPr>
            <w:tcW w:w="8581" w:type="dxa"/>
          </w:tcPr>
          <w:p w:rsidR="008626B1" w:rsidRPr="004814BA" w:rsidRDefault="00E77B48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first allegation of a sexual offence relates to Child WR attempting </w:t>
            </w:r>
            <w:r w:rsidR="00C8603B">
              <w:rPr>
                <w:rFonts w:ascii="Arial" w:hAnsi="Arial" w:cs="Arial"/>
                <w:color w:val="000000"/>
                <w:sz w:val="20"/>
                <w:szCs w:val="20"/>
              </w:rPr>
              <w:t>to sexually assault a boy under 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but was stopped by the victim’s older sibling</w:t>
            </w:r>
            <w:r w:rsidR="00C8603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>This incident was u</w:t>
            </w:r>
            <w:r w:rsidR="00440FFD">
              <w:rPr>
                <w:rFonts w:ascii="Arial" w:hAnsi="Arial" w:cs="Arial"/>
                <w:color w:val="000000"/>
                <w:sz w:val="20"/>
                <w:szCs w:val="20"/>
              </w:rPr>
              <w:t>nknown to serv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>ices at the time.</w:t>
            </w:r>
            <w:r w:rsidR="00E92A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>The parents</w:t>
            </w:r>
            <w:r w:rsidR="00440FFD">
              <w:rPr>
                <w:rFonts w:ascii="Arial" w:hAnsi="Arial" w:cs="Arial"/>
                <w:color w:val="000000"/>
                <w:sz w:val="20"/>
                <w:szCs w:val="20"/>
              </w:rPr>
              <w:t xml:space="preserve"> of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 w:rsidR="00440FFD">
              <w:rPr>
                <w:rFonts w:ascii="Arial" w:hAnsi="Arial" w:cs="Arial"/>
                <w:color w:val="000000"/>
                <w:sz w:val="20"/>
                <w:szCs w:val="20"/>
              </w:rPr>
              <w:t xml:space="preserve"> victim 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>were</w:t>
            </w:r>
            <w:r w:rsidR="00E92AD5">
              <w:rPr>
                <w:rFonts w:ascii="Arial" w:hAnsi="Arial" w:cs="Arial"/>
                <w:color w:val="000000"/>
                <w:sz w:val="20"/>
                <w:szCs w:val="20"/>
              </w:rPr>
              <w:t xml:space="preserve"> new to the area and were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persuaded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0FFD">
              <w:rPr>
                <w:rFonts w:ascii="Arial" w:hAnsi="Arial" w:cs="Arial"/>
                <w:color w:val="000000"/>
                <w:sz w:val="20"/>
                <w:szCs w:val="20"/>
              </w:rPr>
              <w:t xml:space="preserve">not to report 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 xml:space="preserve">the incident </w:t>
            </w:r>
            <w:r w:rsidR="00E92AD5">
              <w:rPr>
                <w:rFonts w:ascii="Arial" w:hAnsi="Arial" w:cs="Arial"/>
                <w:color w:val="000000"/>
                <w:sz w:val="20"/>
                <w:szCs w:val="20"/>
              </w:rPr>
              <w:t xml:space="preserve">to the police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by neighbours who were aware of </w:t>
            </w:r>
            <w:r w:rsidR="0007602F">
              <w:rPr>
                <w:rFonts w:ascii="Arial" w:hAnsi="Arial" w:cs="Arial"/>
                <w:color w:val="000000"/>
                <w:sz w:val="20"/>
                <w:szCs w:val="20"/>
              </w:rPr>
              <w:t>WRs di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sabilities and vulnerabilities. The family later came forwa</w:t>
            </w:r>
            <w:r w:rsidR="00CA2841">
              <w:rPr>
                <w:rFonts w:ascii="Arial" w:hAnsi="Arial" w:cs="Arial"/>
                <w:color w:val="000000"/>
                <w:sz w:val="20"/>
                <w:szCs w:val="20"/>
              </w:rPr>
              <w:t xml:space="preserve">rd at the time of the fifth incident once they were aware assaults on another child had taken place. </w:t>
            </w:r>
          </w:p>
        </w:tc>
      </w:tr>
      <w:tr w:rsidR="008626B1" w:rsidTr="004E7EC2">
        <w:tc>
          <w:tcPr>
            <w:tcW w:w="2618" w:type="dxa"/>
          </w:tcPr>
          <w:p w:rsidR="008626B1" w:rsidRPr="004814BA" w:rsidRDefault="00E77B48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 Incident </w:t>
            </w:r>
            <w:r w:rsidR="00440FFD">
              <w:rPr>
                <w:rFonts w:ascii="Arial" w:hAnsi="Arial" w:cs="Arial"/>
                <w:color w:val="000000"/>
                <w:sz w:val="20"/>
                <w:szCs w:val="20"/>
              </w:rPr>
              <w:t xml:space="preserve"> (3 years later) </w:t>
            </w:r>
          </w:p>
        </w:tc>
        <w:tc>
          <w:tcPr>
            <w:tcW w:w="8581" w:type="dxa"/>
          </w:tcPr>
          <w:p w:rsidR="008626B1" w:rsidRPr="004814BA" w:rsidRDefault="00440FFD" w:rsidP="00E77B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Ina</w:t>
            </w:r>
            <w:r w:rsidR="00CA2841">
              <w:rPr>
                <w:rFonts w:ascii="Arial" w:hAnsi="Arial" w:cs="Arial"/>
                <w:color w:val="000000"/>
                <w:sz w:val="20"/>
                <w:szCs w:val="20"/>
              </w:rPr>
              <w:t>ppropriate sexual behaviour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7B48">
              <w:rPr>
                <w:rFonts w:ascii="Arial" w:hAnsi="Arial" w:cs="Arial"/>
                <w:color w:val="000000"/>
                <w:sz w:val="20"/>
                <w:szCs w:val="20"/>
              </w:rPr>
              <w:t xml:space="preserve">between WR and a </w:t>
            </w:r>
            <w:r w:rsidR="00B55273">
              <w:rPr>
                <w:rFonts w:ascii="Arial" w:hAnsi="Arial" w:cs="Arial"/>
                <w:color w:val="000000"/>
                <w:sz w:val="20"/>
                <w:szCs w:val="20"/>
              </w:rPr>
              <w:t xml:space="preserve">same aged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peer from school. </w:t>
            </w:r>
            <w:r w:rsidR="00E77B4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school and grandparents were aware of the incident, it was felt to be consensual and so no further action taken. </w:t>
            </w:r>
          </w:p>
        </w:tc>
      </w:tr>
      <w:tr w:rsidR="008626B1" w:rsidTr="004E7EC2">
        <w:tc>
          <w:tcPr>
            <w:tcW w:w="2618" w:type="dxa"/>
          </w:tcPr>
          <w:p w:rsidR="008626B1" w:rsidRPr="004814BA" w:rsidRDefault="00440FFD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Third Offence (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>3 months afte</w:t>
            </w:r>
            <w:r w:rsidR="002B4AB6">
              <w:rPr>
                <w:rFonts w:ascii="Arial" w:hAnsi="Arial" w:cs="Arial"/>
                <w:color w:val="000000"/>
                <w:sz w:val="20"/>
                <w:szCs w:val="20"/>
              </w:rPr>
              <w:t>r the second incident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581" w:type="dxa"/>
          </w:tcPr>
          <w:p w:rsidR="008626B1" w:rsidRDefault="00CA2841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 WR is an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open case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children’s social care because of the worries around his missing episodes and being beyond the control and influence of his grandparents.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During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multi-agency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planning and assessing Child WR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reported to police for a sexual assault on a much younger child. </w:t>
            </w:r>
          </w:p>
          <w:p w:rsidR="0085356F" w:rsidRDefault="0085356F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56F" w:rsidRDefault="00CA2841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trategy meeting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had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already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been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>arranged to discus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the wider concerns for WR. This third incident was discussed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strategy meeting.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strategy m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eeting concluded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that Child WR needed extra support and was not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considered to be at risk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significant harm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number of s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afety factors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were identified for Child WR including his grandparents, Youth Offending Team Support and the NSPCC </w:t>
            </w:r>
            <w:r w:rsidR="00E61250">
              <w:rPr>
                <w:rFonts w:ascii="Arial" w:hAnsi="Arial" w:cs="Arial"/>
                <w:color w:val="000000"/>
                <w:sz w:val="20"/>
                <w:szCs w:val="20"/>
              </w:rPr>
              <w:t xml:space="preserve">attended the strategy meeting to provide expertise to the decision making regarding the future assessment of any on-going risk of further sexual assault. </w:t>
            </w:r>
          </w:p>
          <w:p w:rsidR="00E61250" w:rsidRDefault="00E61250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56F" w:rsidRDefault="00E61250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strategy meeting was reviewed 3 weeks later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>and decided</w:t>
            </w:r>
            <w:r w:rsidR="002B4AB6">
              <w:rPr>
                <w:rFonts w:ascii="Arial" w:hAnsi="Arial" w:cs="Arial"/>
                <w:color w:val="000000"/>
                <w:sz w:val="20"/>
                <w:szCs w:val="20"/>
              </w:rPr>
              <w:t xml:space="preserve"> again that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 WR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did not meet the threshold of significant harm and was to be supported on a child in need basis.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5356F" w:rsidRDefault="0085356F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56F" w:rsidRDefault="00E61250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WR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was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>interviewed by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 police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third incident </w:t>
            </w:r>
            <w:r w:rsidR="0085356F">
              <w:rPr>
                <w:rFonts w:ascii="Arial" w:hAnsi="Arial" w:cs="Arial"/>
                <w:color w:val="000000"/>
                <w:sz w:val="20"/>
                <w:szCs w:val="20"/>
              </w:rPr>
              <w:t xml:space="preserve">and admitted the assault. He couldn’t explain why he did it but did say he had seen other adults acting in a similar way in public. Child WR apologised for what he did and recognised it was wrong. </w:t>
            </w:r>
          </w:p>
          <w:p w:rsidR="00D513D8" w:rsidRDefault="00D513D8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13D8" w:rsidRDefault="00E61250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police decision was reached to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manage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incident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by way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caution.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victim’s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family disagreed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this decision and the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>case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was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 referred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senior police officer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crown prosecution service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to decide if a caution could be given. </w:t>
            </w:r>
          </w:p>
          <w:p w:rsidR="00D513D8" w:rsidRDefault="00D513D8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13D8" w:rsidRDefault="002B4AB6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file was sent to the crown prosecution service two months after the third incident took place.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further three months later the crown prosecution service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 requ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ested more information from children’s social care </w:t>
            </w:r>
            <w:r w:rsidR="00D513D8">
              <w:rPr>
                <w:rFonts w:ascii="Arial" w:hAnsi="Arial" w:cs="Arial"/>
                <w:color w:val="000000"/>
                <w:sz w:val="20"/>
                <w:szCs w:val="20"/>
              </w:rPr>
              <w:t xml:space="preserve">about the work being undertaken before deciding if a caution was appropriate. </w:t>
            </w:r>
          </w:p>
          <w:p w:rsidR="00D513D8" w:rsidRPr="004814BA" w:rsidRDefault="00D513D8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26B1" w:rsidTr="004E7EC2">
        <w:tc>
          <w:tcPr>
            <w:tcW w:w="2618" w:type="dxa"/>
          </w:tcPr>
          <w:p w:rsidR="008626B1" w:rsidRPr="004814BA" w:rsidRDefault="00D513D8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Fourth Incident (5 </w:t>
            </w:r>
            <w:r w:rsidR="002B4AB6">
              <w:rPr>
                <w:rFonts w:ascii="Arial" w:hAnsi="Arial" w:cs="Arial"/>
                <w:color w:val="000000"/>
                <w:sz w:val="20"/>
                <w:szCs w:val="20"/>
              </w:rPr>
              <w:t>months after third incident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581" w:type="dxa"/>
          </w:tcPr>
          <w:p w:rsidR="008626B1" w:rsidRPr="004814BA" w:rsidRDefault="002B4AB6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few days before the crown prosecution service</w:t>
            </w:r>
            <w:r w:rsidR="004E7EC2">
              <w:rPr>
                <w:rFonts w:ascii="Arial" w:hAnsi="Arial" w:cs="Arial"/>
                <w:color w:val="000000"/>
                <w:sz w:val="20"/>
                <w:szCs w:val="20"/>
              </w:rPr>
              <w:t xml:space="preserve"> requested additional information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 </w:t>
            </w:r>
            <w:r w:rsidR="004E7EC2">
              <w:rPr>
                <w:rFonts w:ascii="Arial" w:hAnsi="Arial" w:cs="Arial"/>
                <w:color w:val="000000"/>
                <w:sz w:val="20"/>
                <w:szCs w:val="20"/>
              </w:rPr>
              <w:t xml:space="preserve">WR sexually assaulted another much younger child. The incident took place at a local leisure centre. The victim was a member of a family who had befriended WR because he was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classmate of one of their other</w:t>
            </w:r>
            <w:r w:rsidR="004E7EC2">
              <w:rPr>
                <w:rFonts w:ascii="Arial" w:hAnsi="Arial" w:cs="Arial"/>
                <w:color w:val="000000"/>
                <w:sz w:val="20"/>
                <w:szCs w:val="20"/>
              </w:rPr>
              <w:t xml:space="preserve"> children. The assault was not known about or reported at the time. </w:t>
            </w:r>
          </w:p>
        </w:tc>
      </w:tr>
      <w:tr w:rsidR="008626B1" w:rsidTr="004E7EC2">
        <w:tc>
          <w:tcPr>
            <w:tcW w:w="2618" w:type="dxa"/>
          </w:tcPr>
          <w:p w:rsidR="008626B1" w:rsidRPr="004814BA" w:rsidRDefault="004E7EC2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Fifth &amp; Final Incident (Two weeks after the fourth incident)</w:t>
            </w:r>
          </w:p>
        </w:tc>
        <w:tc>
          <w:tcPr>
            <w:tcW w:w="8581" w:type="dxa"/>
          </w:tcPr>
          <w:p w:rsidR="008626B1" w:rsidRDefault="00BB6C16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 </w:t>
            </w:r>
            <w:r w:rsidR="004E7EC2">
              <w:rPr>
                <w:rFonts w:ascii="Arial" w:hAnsi="Arial" w:cs="Arial"/>
                <w:color w:val="000000"/>
                <w:sz w:val="20"/>
                <w:szCs w:val="20"/>
              </w:rPr>
              <w:t xml:space="preserve">WR joined the same family described in the fourth incident for an outing. During the outing it was noticed that he had disappeared with the same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much younger </w:t>
            </w:r>
            <w:r w:rsidR="004E7EC2">
              <w:rPr>
                <w:rFonts w:ascii="Arial" w:hAnsi="Arial" w:cs="Arial"/>
                <w:color w:val="000000"/>
                <w:sz w:val="20"/>
                <w:szCs w:val="20"/>
              </w:rPr>
              <w:t xml:space="preserve">child. WR was found nearby committing a sexual assault on the child and ran away after being discovered. </w:t>
            </w:r>
          </w:p>
          <w:p w:rsidR="004E7EC2" w:rsidRPr="004814BA" w:rsidRDefault="00BB6C16" w:rsidP="004E7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 WR </w:t>
            </w:r>
            <w:r w:rsidR="004E7EC2">
              <w:rPr>
                <w:rFonts w:ascii="Arial" w:hAnsi="Arial" w:cs="Arial"/>
                <w:color w:val="000000"/>
                <w:sz w:val="20"/>
                <w:szCs w:val="20"/>
              </w:rPr>
              <w:t xml:space="preserve">was later arrested and admitted to sexual offences against the child. </w:t>
            </w:r>
          </w:p>
        </w:tc>
      </w:tr>
    </w:tbl>
    <w:p w:rsidR="00F66A5C" w:rsidRPr="00BB6C16" w:rsidRDefault="00F66A5C" w:rsidP="00F66A5C">
      <w:pPr>
        <w:rPr>
          <w:rFonts w:ascii="Arial" w:hAnsi="Arial" w:cs="Arial"/>
          <w:b/>
          <w:bCs/>
          <w:color w:val="5F497A" w:themeColor="accent4" w:themeShade="BF"/>
          <w:sz w:val="32"/>
          <w:szCs w:val="32"/>
        </w:rPr>
      </w:pPr>
    </w:p>
    <w:p w:rsidR="00BB6C16" w:rsidRPr="00BB6C16" w:rsidRDefault="00BB6C16" w:rsidP="00BB6C16">
      <w:pPr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BB6C16">
        <w:rPr>
          <w:rFonts w:ascii="Arial" w:hAnsi="Arial" w:cs="Arial"/>
          <w:b/>
          <w:color w:val="5F497A" w:themeColor="accent4" w:themeShade="BF"/>
          <w:sz w:val="28"/>
          <w:szCs w:val="28"/>
        </w:rPr>
        <w:t>What for you is the learning that can be gathered from this case?</w:t>
      </w:r>
    </w:p>
    <w:p w:rsidR="00F66A5C" w:rsidRPr="00BB6C16" w:rsidRDefault="00F66A5C" w:rsidP="00BB6C16">
      <w:pPr>
        <w:rPr>
          <w:rFonts w:ascii="Arial" w:hAnsi="Arial" w:cs="Arial"/>
          <w:b/>
          <w:color w:val="5F497A" w:themeColor="accent4" w:themeShade="BF"/>
          <w:sz w:val="28"/>
          <w:szCs w:val="28"/>
        </w:rPr>
      </w:pPr>
    </w:p>
    <w:p w:rsidR="007C5A33" w:rsidRDefault="00F66A5C" w:rsidP="00BB6C16">
      <w:pPr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BB6C16">
        <w:rPr>
          <w:rFonts w:ascii="Arial" w:hAnsi="Arial" w:cs="Arial"/>
          <w:b/>
          <w:color w:val="5F497A" w:themeColor="accent4" w:themeShade="BF"/>
          <w:sz w:val="28"/>
          <w:szCs w:val="28"/>
        </w:rPr>
        <w:t>How would you apply this learning in your practice/agency?</w:t>
      </w:r>
    </w:p>
    <w:p w:rsidR="00BB6C16" w:rsidRDefault="00BB6C16" w:rsidP="00BB6C16">
      <w:pPr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</w:p>
    <w:p w:rsidR="00BB6C16" w:rsidRPr="00BB6C16" w:rsidRDefault="00BB6C16" w:rsidP="00BB6C16">
      <w:pPr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BB6C16">
        <w:rPr>
          <w:rFonts w:ascii="Arial" w:hAnsi="Arial" w:cs="Arial"/>
          <w:b/>
          <w:color w:val="5F497A" w:themeColor="accent4" w:themeShade="BF"/>
          <w:sz w:val="28"/>
          <w:szCs w:val="28"/>
        </w:rPr>
        <w:t>W</w:t>
      </w:r>
      <w:r>
        <w:rPr>
          <w:rFonts w:ascii="Arial" w:hAnsi="Arial" w:cs="Arial"/>
          <w:b/>
          <w:color w:val="5F497A" w:themeColor="accent4" w:themeShade="BF"/>
          <w:sz w:val="28"/>
          <w:szCs w:val="28"/>
        </w:rPr>
        <w:t>hat questions are you left with?</w:t>
      </w:r>
    </w:p>
    <w:sectPr w:rsidR="00BB6C16" w:rsidRPr="00BB6C16" w:rsidSect="009C7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7E" w:rsidRDefault="00FA7E7E" w:rsidP="007C5A33">
      <w:r>
        <w:separator/>
      </w:r>
    </w:p>
  </w:endnote>
  <w:endnote w:type="continuationSeparator" w:id="0">
    <w:p w:rsidR="00FA7E7E" w:rsidRDefault="00FA7E7E" w:rsidP="007C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0" w:rsidRDefault="00E61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0" w:rsidRDefault="00E61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0" w:rsidRDefault="00E61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7E" w:rsidRDefault="00FA7E7E" w:rsidP="007C5A33">
      <w:r>
        <w:separator/>
      </w:r>
    </w:p>
  </w:footnote>
  <w:footnote w:type="continuationSeparator" w:id="0">
    <w:p w:rsidR="00FA7E7E" w:rsidRDefault="00FA7E7E" w:rsidP="007C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0" w:rsidRDefault="00E61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50" w:rsidRDefault="00006A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0f754a11bf876b60e0c43306" descr="{&quot;HashCode&quot;:51021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6A50" w:rsidRPr="00006A50" w:rsidRDefault="00006A50" w:rsidP="00006A50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006A50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  <w:proofErr w:type="gramStart"/>
                          <w:r w:rsidRPr="00006A50">
                            <w:rPr>
                              <w:rFonts w:ascii="Arial" w:hAnsi="Arial" w:cs="Arial"/>
                              <w:color w:val="000000"/>
                            </w:rPr>
                            <w:t>:SENSITIVE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f754a11bf876b60e0c43306" o:spid="_x0000_s1027" type="#_x0000_t202" alt="{&quot;HashCode&quot;:51021198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1iGAMAADUGAAAOAAAAZHJzL2Uyb0RvYy54bWysVE1v2zAMvQ/YfxB02Gmp5dRO4qxu0abI&#10;ViBtA6RDz4osx8JsyZWUxlnR/z5KttOP7TAMu0gUSVHk4xNPzpqqRI9cG6FkisMjghGXTGVCblL8&#10;/W4+mGBkLJUZLZXkKd5zg89OP3442dVTPlSFKjOuEQSRZrqrU1xYW0+DwLCCV9QcqZpLMOZKV9TC&#10;UW+CTNMdRK/KYEjIKNgpndVaMW4MaC9bIz718fOcM3ub54ZbVKYYcrN+1X5duzU4PaHTjaZ1IViX&#10;Bv2HLCoqJDx6CHVJLUVbLX4LVQmmlVG5PWKqClSeC8Z9DVBNSN5VsypozX0tAI6pDzCZ/xeW3Twu&#10;NRJZio8xkrSCFl2vrpaza5KP44iG4TqfjEfrEeGERcfHZIRRxg0DBJ8+PWyV/fKNmmKmMt6epnFI&#10;hmGYTD53Vi42he1skwj40RnuRWaL/k4SH/TLkjJecdnf6cNQoEkrdwGuZMabLkC7LbWoqN6/8VoB&#10;AYCZnV/Y3b1Tdachh4cXPO/fBOWzI8auNlPAZ1UDQra5UA0QvNcbULp+N7mu3A6dRGAHiu0PtOKN&#10;RQyU43hEkijGiIFtGA9JErswwcvtWhv7lasKOSHFGrL2bKKPC2Nb197FPSbVXJSlp24p0S7Fo+OY&#10;+AsHCwQvpfOFJCBGJ7WUfErCYUQuhslgPpqMB9E8igfJmEwGJEwukhGJkuhy/uzihdG0EFnG5UJI&#10;3n+PMPo7+nUftSW2/yBvUjWqFJmrw+XmqpuVGj1S+Kdr4MCPDqFXXsHbdDyAUF2/+yoD17O2N06y&#10;zbrpGrlW2R76qBXgC10yNZsLeHRBjV1SDX8elDDH7C0seakAVNVJGBVK//yT3vkDFmDFaAczJMXm&#10;YUs1x6i8kvBJh3FEiJs6/gSC9kISRhEc1r1WbquZgrpDn5YXna8tezHXqrqHOXfungMTlQweTbHt&#10;xZmFExhgTjJ+fu5lmC81tQu5qpkL3aN819xTXXdEs4DfjerHDJ2+41vr625Kdb61KheejA7ZFk7A&#10;3h1gNvkudHPUDb/XZ+/1Mu1PfwEAAP//AwBQSwMEFAAGAAgAAAAhAMOyo8/cAAAABwEAAA8AAABk&#10;cnMvZG93bnJldi54bWxMj81OwzAQhO9IvIO1SNyoXZD6E7KpUBAHJA7Q8gCbeEkC8TqK3TR9e9wT&#10;nFajGc18m+9m16uJx9B5QVguDCiW2ttOGoTPw8vdBlSIJJZ6L4xw5gC74voqp8z6k3zwtI+NSiUS&#10;MkJoYxwyrUPdsqOw8ANL8r786CgmOTbajnRK5a7X98astKNO0kJLA5ct1z/7o0Moy3d7OMfmTZ6/&#10;u7my1etUuwHx9mZ+egQVeY5/YbjgJ3QoElPlj2KD6hHSIxHhwaR7cZdbswZVIay2a9BFrv/zF78A&#10;AAD//wMAUEsBAi0AFAAGAAgAAAAhALaDOJL+AAAA4QEAABMAAAAAAAAAAAAAAAAAAAAAAFtDb250&#10;ZW50X1R5cGVzXS54bWxQSwECLQAUAAYACAAAACEAOP0h/9YAAACUAQAACwAAAAAAAAAAAAAAAAAv&#10;AQAAX3JlbHMvLnJlbHNQSwECLQAUAAYACAAAACEAEmSdYhgDAAA1BgAADgAAAAAAAAAAAAAAAAAu&#10;AgAAZHJzL2Uyb0RvYy54bWxQSwECLQAUAAYACAAAACEAw7Kjz9wAAAAHAQAADwAAAAAAAAAAAAAA&#10;AAByBQAAZHJzL2Rvd25yZXYueG1sUEsFBgAAAAAEAAQA8wAAAHsGAAAAAA==&#10;" o:allowincell="f" filled="f" stroked="f" strokeweight=".5pt">
              <v:textbox inset="20pt,0,,0">
                <w:txbxContent>
                  <w:p w:rsidR="00006A50" w:rsidRPr="00006A50" w:rsidRDefault="00006A50" w:rsidP="00006A50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006A50">
                      <w:rPr>
                        <w:rFonts w:ascii="Arial" w:hAnsi="Arial" w:cs="Arial"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50" w:rsidRDefault="00E61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1938"/>
    <w:multiLevelType w:val="hybridMultilevel"/>
    <w:tmpl w:val="38EABE6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1D53967"/>
    <w:multiLevelType w:val="hybridMultilevel"/>
    <w:tmpl w:val="AF5C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5EDD"/>
    <w:multiLevelType w:val="hybridMultilevel"/>
    <w:tmpl w:val="3782D6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3"/>
    <w:rsid w:val="00006A50"/>
    <w:rsid w:val="00025961"/>
    <w:rsid w:val="0007602F"/>
    <w:rsid w:val="000C03E3"/>
    <w:rsid w:val="001C4AA8"/>
    <w:rsid w:val="002A562E"/>
    <w:rsid w:val="002B4AB6"/>
    <w:rsid w:val="00314672"/>
    <w:rsid w:val="003239BE"/>
    <w:rsid w:val="00383FB0"/>
    <w:rsid w:val="003D20CB"/>
    <w:rsid w:val="00432FEB"/>
    <w:rsid w:val="00440FFD"/>
    <w:rsid w:val="004B2D9E"/>
    <w:rsid w:val="004E6DE4"/>
    <w:rsid w:val="004E7EC2"/>
    <w:rsid w:val="0058681B"/>
    <w:rsid w:val="00627C0B"/>
    <w:rsid w:val="006321A8"/>
    <w:rsid w:val="006D35E2"/>
    <w:rsid w:val="006D50C3"/>
    <w:rsid w:val="00705AD4"/>
    <w:rsid w:val="00725643"/>
    <w:rsid w:val="007369A9"/>
    <w:rsid w:val="00753910"/>
    <w:rsid w:val="007C5A33"/>
    <w:rsid w:val="007E3418"/>
    <w:rsid w:val="0085356F"/>
    <w:rsid w:val="00856345"/>
    <w:rsid w:val="008626B1"/>
    <w:rsid w:val="00933904"/>
    <w:rsid w:val="00987E64"/>
    <w:rsid w:val="00990DDB"/>
    <w:rsid w:val="009C2582"/>
    <w:rsid w:val="009C7709"/>
    <w:rsid w:val="009D4418"/>
    <w:rsid w:val="009E212C"/>
    <w:rsid w:val="009F0638"/>
    <w:rsid w:val="00A44A82"/>
    <w:rsid w:val="00AF74D0"/>
    <w:rsid w:val="00B55273"/>
    <w:rsid w:val="00B736E9"/>
    <w:rsid w:val="00B8525D"/>
    <w:rsid w:val="00BB10F4"/>
    <w:rsid w:val="00BB6C16"/>
    <w:rsid w:val="00BC6760"/>
    <w:rsid w:val="00BF35C7"/>
    <w:rsid w:val="00C604AB"/>
    <w:rsid w:val="00C80772"/>
    <w:rsid w:val="00C8603B"/>
    <w:rsid w:val="00CA13B7"/>
    <w:rsid w:val="00CA2841"/>
    <w:rsid w:val="00CB648B"/>
    <w:rsid w:val="00D513D8"/>
    <w:rsid w:val="00DA1B4E"/>
    <w:rsid w:val="00E52144"/>
    <w:rsid w:val="00E53587"/>
    <w:rsid w:val="00E61250"/>
    <w:rsid w:val="00E71853"/>
    <w:rsid w:val="00E77B48"/>
    <w:rsid w:val="00E91569"/>
    <w:rsid w:val="00E92AD5"/>
    <w:rsid w:val="00F3712F"/>
    <w:rsid w:val="00F66A5C"/>
    <w:rsid w:val="00FA7E7E"/>
    <w:rsid w:val="00FB792D"/>
    <w:rsid w:val="00FC014A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78F7D4"/>
  <w15:chartTrackingRefBased/>
  <w15:docId w15:val="{12FCD1BD-8156-4599-B5E8-2C1335E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5A33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C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5A33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C5A33"/>
    <w:pPr>
      <w:ind w:left="720"/>
      <w:contextualSpacing/>
    </w:pPr>
  </w:style>
  <w:style w:type="table" w:styleId="TableGrid">
    <w:name w:val="Table Grid"/>
    <w:basedOn w:val="TableNormal"/>
    <w:rsid w:val="000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AD8F-71FF-4347-97C2-E052ED11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934</Words>
  <Characters>4637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Caroline</dc:creator>
  <cp:keywords/>
  <dc:description/>
  <cp:lastModifiedBy>Wilson, Caroline</cp:lastModifiedBy>
  <cp:revision>10</cp:revision>
  <dcterms:created xsi:type="dcterms:W3CDTF">2021-02-24T16:21:00Z</dcterms:created>
  <dcterms:modified xsi:type="dcterms:W3CDTF">2021-03-08T11:40:00Z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2020-03-04T12:46:04Z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e30532d7-4354-44f9-b620-0000fd889106</vt:lpwstr>
  </property>
  <property fmtid="{D5CDD505-2E9C-101B-9397-08002B2CF9AE}" pid="8" name="MSIP_Label_d57318c2-6b86-43df-b189-c92fcad1cee5_ContentBits">
    <vt:lpwstr>1</vt:lpwstr>
  </property>
</Properties>
</file>