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4D3" w:rsidRDefault="008B32A8">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1682750</wp:posOffset>
                </wp:positionH>
                <wp:positionV relativeFrom="paragraph">
                  <wp:posOffset>57150</wp:posOffset>
                </wp:positionV>
                <wp:extent cx="4286250" cy="17272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4286250" cy="1727200"/>
                        </a:xfrm>
                        <a:prstGeom prst="rect">
                          <a:avLst/>
                        </a:prstGeom>
                        <a:solidFill>
                          <a:schemeClr val="lt1"/>
                        </a:solidFill>
                        <a:ln w="6350">
                          <a:noFill/>
                        </a:ln>
                      </wps:spPr>
                      <wps:txbx>
                        <w:txbxContent>
                          <w:p w:rsidR="008B32A8" w:rsidRPr="008B32A8" w:rsidRDefault="008B32A8" w:rsidP="008B32A8">
                            <w:pPr>
                              <w:jc w:val="center"/>
                              <w:rPr>
                                <w:b/>
                                <w:color w:val="002060"/>
                                <w:sz w:val="44"/>
                                <w:szCs w:val="44"/>
                              </w:rPr>
                            </w:pPr>
                          </w:p>
                          <w:p w:rsidR="008B32A8" w:rsidRPr="008B32A8" w:rsidRDefault="00CD13FC" w:rsidP="008B32A8">
                            <w:pPr>
                              <w:jc w:val="center"/>
                              <w:rPr>
                                <w:b/>
                                <w:color w:val="002060"/>
                                <w:sz w:val="44"/>
                                <w:szCs w:val="44"/>
                              </w:rPr>
                            </w:pPr>
                            <w:r>
                              <w:rPr>
                                <w:b/>
                                <w:color w:val="002060"/>
                                <w:sz w:val="44"/>
                                <w:szCs w:val="44"/>
                              </w:rPr>
                              <w:t xml:space="preserve">Complexity and challenge: a triennial analysis of serious case reviews 2014 – 2017(DfE March 2020)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2.5pt;margin-top:4.5pt;width:337.5pt;height:1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" fillcolor="white [3201]" stroked="f" strokeweight=".5pt">
                <v:textbox>
                  <w:txbxContent>
                    <w:p w:rsidR="008B32A8" w:rsidRPr="008B32A8" w:rsidRDefault="008B32A8" w:rsidP="008B32A8">
                      <w:pPr>
                        <w:jc w:val="center"/>
                        <w:rPr>
                          <w:b/>
                          <w:color w:val="002060"/>
                          <w:sz w:val="44"/>
                          <w:szCs w:val="44"/>
                        </w:rPr>
                      </w:pPr>
                    </w:p>
                    <w:p w:rsidR="008B32A8" w:rsidRPr="008B32A8" w:rsidRDefault="00CD13FC" w:rsidP="008B32A8">
                      <w:pPr>
                        <w:jc w:val="center"/>
                        <w:rPr>
                          <w:b/>
                          <w:color w:val="002060"/>
                          <w:sz w:val="44"/>
                          <w:szCs w:val="44"/>
                        </w:rPr>
                      </w:pPr>
                      <w:r>
                        <w:rPr>
                          <w:b/>
                          <w:color w:val="002060"/>
                          <w:sz w:val="44"/>
                          <w:szCs w:val="44"/>
                        </w:rPr>
                        <w:t xml:space="preserve">Complexity and challenge: a triennial analysis of serious case reviews 2014 – 2017(DfE March 2020) </w:t>
                      </w:r>
                    </w:p>
                  </w:txbxContent>
                </v:textbox>
              </v:shape>
            </w:pict>
          </mc:Fallback>
        </mc:AlternateContent>
      </w:r>
      <w:r>
        <w:rPr>
          <w:noProof/>
          <w:lang w:eastAsia="en-GB"/>
        </w:rPr>
        <w:drawing>
          <wp:inline distT="0" distB="0" distL="0" distR="0" wp14:anchorId="639A2772" wp14:editId="0523E02E">
            <wp:extent cx="1390596" cy="1571625"/>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0829" cy="1594492"/>
                    </a:xfrm>
                    <a:prstGeom prst="rect">
                      <a:avLst/>
                    </a:prstGeom>
                  </pic:spPr>
                </pic:pic>
              </a:graphicData>
            </a:graphic>
          </wp:inline>
        </w:drawing>
      </w:r>
    </w:p>
    <w:p w:rsidR="006564D3" w:rsidRDefault="006564D3"/>
    <w:p w:rsidR="006564D3" w:rsidRDefault="006564D3"/>
    <w:p w:rsidR="001A32B8" w:rsidRDefault="001A32B8" w:rsidP="00CD13FC">
      <w:pPr>
        <w:rPr>
          <w:rFonts w:ascii="Arial" w:hAnsi="Arial" w:cs="Arial"/>
          <w:sz w:val="22"/>
          <w:szCs w:val="22"/>
        </w:rPr>
      </w:pPr>
      <w:bookmarkStart w:id="0" w:name="_GoBack"/>
      <w:bookmarkEnd w:id="0"/>
    </w:p>
    <w:p w:rsidR="00CD13FC" w:rsidRDefault="00CD13FC" w:rsidP="00CD13FC">
      <w:pPr>
        <w:rPr>
          <w:rFonts w:ascii="Arial" w:hAnsi="Arial" w:cs="Arial"/>
          <w:b/>
          <w:bCs/>
          <w:color w:val="002060"/>
          <w:sz w:val="28"/>
          <w:szCs w:val="28"/>
        </w:rPr>
      </w:pPr>
      <w:r w:rsidRPr="00CD13FC">
        <w:rPr>
          <w:rFonts w:ascii="Arial" w:hAnsi="Arial" w:cs="Arial"/>
          <w:b/>
          <w:bCs/>
          <w:color w:val="002060"/>
          <w:sz w:val="28"/>
          <w:szCs w:val="28"/>
        </w:rPr>
        <w:t>Supervision Learning Points:</w:t>
      </w:r>
    </w:p>
    <w:p w:rsidR="00CD13FC" w:rsidRDefault="00CD13FC" w:rsidP="00CD13FC">
      <w:pPr>
        <w:rPr>
          <w:rFonts w:ascii="Arial" w:hAnsi="Arial" w:cs="Arial"/>
          <w:b/>
          <w:bCs/>
          <w:color w:val="002060"/>
          <w:sz w:val="28"/>
          <w:szCs w:val="28"/>
        </w:rPr>
      </w:pPr>
    </w:p>
    <w:p w:rsidR="00CD13FC" w:rsidRDefault="00CD13FC" w:rsidP="00CD13FC">
      <w:pPr>
        <w:numPr>
          <w:ilvl w:val="0"/>
          <w:numId w:val="6"/>
        </w:numPr>
        <w:shd w:val="clear" w:color="auto" w:fill="FFFFFF"/>
        <w:ind w:left="744"/>
        <w:textAlignment w:val="baseline"/>
        <w:rPr>
          <w:rFonts w:ascii="Arial" w:hAnsi="Arial" w:cs="Arial"/>
          <w:color w:val="333333"/>
          <w:lang w:eastAsia="en-GB"/>
        </w:rPr>
      </w:pPr>
      <w:r w:rsidRPr="00CD13FC">
        <w:rPr>
          <w:rFonts w:ascii="Arial" w:hAnsi="Arial" w:cs="Arial"/>
          <w:color w:val="333333"/>
          <w:lang w:eastAsia="en-GB"/>
        </w:rPr>
        <w:t>Opportunities for protection can only be identified if cases are the subject of active and ongoing review. It is important that the selection of cases for discussion in supervision is not left to practitioners alone.</w:t>
      </w:r>
    </w:p>
    <w:p w:rsidR="00CD13FC" w:rsidRPr="00CD13FC" w:rsidRDefault="00CD13FC" w:rsidP="00CD13FC">
      <w:pPr>
        <w:shd w:val="clear" w:color="auto" w:fill="FFFFFF"/>
        <w:ind w:left="744"/>
        <w:textAlignment w:val="baseline"/>
        <w:rPr>
          <w:rFonts w:ascii="Arial" w:hAnsi="Arial" w:cs="Arial"/>
          <w:color w:val="333333"/>
          <w:lang w:eastAsia="en-GB"/>
        </w:rPr>
      </w:pPr>
    </w:p>
    <w:p w:rsidR="00CD13FC" w:rsidRDefault="00CD13FC" w:rsidP="00CD13FC">
      <w:pPr>
        <w:numPr>
          <w:ilvl w:val="0"/>
          <w:numId w:val="6"/>
        </w:numPr>
        <w:shd w:val="clear" w:color="auto" w:fill="FFFFFF"/>
        <w:ind w:left="744"/>
        <w:textAlignment w:val="baseline"/>
        <w:rPr>
          <w:rFonts w:ascii="Arial" w:hAnsi="Arial" w:cs="Arial"/>
          <w:color w:val="333333"/>
          <w:lang w:eastAsia="en-GB"/>
        </w:rPr>
      </w:pPr>
      <w:r w:rsidRPr="00CD13FC">
        <w:rPr>
          <w:rFonts w:ascii="Arial" w:hAnsi="Arial" w:cs="Arial"/>
          <w:color w:val="333333"/>
          <w:lang w:eastAsia="en-GB"/>
        </w:rPr>
        <w:t>Cases with persistent ongoing concerns, but which fall below the threshold for child protection, should be brought to attention and monitored. This is particularly relevant in the context of neglect, where risks may be cumulative over time.</w:t>
      </w:r>
    </w:p>
    <w:p w:rsidR="00CD13FC" w:rsidRDefault="00CD13FC" w:rsidP="00CD13FC">
      <w:pPr>
        <w:pStyle w:val="ListParagraph"/>
        <w:rPr>
          <w:rFonts w:ascii="Arial" w:hAnsi="Arial" w:cs="Arial"/>
          <w:color w:val="333333"/>
          <w:lang w:eastAsia="en-GB"/>
        </w:rPr>
      </w:pPr>
    </w:p>
    <w:p w:rsidR="00CD13FC" w:rsidRPr="00CD13FC" w:rsidRDefault="00CD13FC" w:rsidP="00CD13FC">
      <w:pPr>
        <w:shd w:val="clear" w:color="auto" w:fill="FFFFFF"/>
        <w:textAlignment w:val="baseline"/>
        <w:rPr>
          <w:rFonts w:ascii="Arial" w:hAnsi="Arial" w:cs="Arial"/>
          <w:color w:val="333333"/>
          <w:lang w:eastAsia="en-GB"/>
        </w:rPr>
      </w:pPr>
    </w:p>
    <w:p w:rsidR="00CD13FC" w:rsidRDefault="00CD13FC" w:rsidP="00CD13FC">
      <w:pPr>
        <w:numPr>
          <w:ilvl w:val="0"/>
          <w:numId w:val="6"/>
        </w:numPr>
        <w:shd w:val="clear" w:color="auto" w:fill="FFFFFF"/>
        <w:ind w:left="744"/>
        <w:textAlignment w:val="baseline"/>
        <w:rPr>
          <w:rFonts w:ascii="Arial" w:hAnsi="Arial" w:cs="Arial"/>
          <w:color w:val="333333"/>
          <w:lang w:eastAsia="en-GB"/>
        </w:rPr>
      </w:pPr>
      <w:r w:rsidRPr="00CD13FC">
        <w:rPr>
          <w:rFonts w:ascii="Arial" w:hAnsi="Arial" w:cs="Arial"/>
          <w:color w:val="333333"/>
          <w:lang w:eastAsia="en-GB"/>
        </w:rPr>
        <w:t>The use of terms such as ‘non-engagement’ should be interrogated in supervision. Such jargon discourages exploration of why a person is reluctant to engage. Workers will need support in managing their responses to families’ fear of or hostility to involvement with services.</w:t>
      </w:r>
    </w:p>
    <w:p w:rsidR="00CD13FC" w:rsidRPr="00CD13FC" w:rsidRDefault="00CD13FC" w:rsidP="00CD13FC">
      <w:pPr>
        <w:shd w:val="clear" w:color="auto" w:fill="FFFFFF"/>
        <w:ind w:left="744"/>
        <w:textAlignment w:val="baseline"/>
        <w:rPr>
          <w:rFonts w:ascii="Arial" w:hAnsi="Arial" w:cs="Arial"/>
          <w:color w:val="333333"/>
          <w:lang w:eastAsia="en-GB"/>
        </w:rPr>
      </w:pPr>
    </w:p>
    <w:p w:rsidR="00CD13FC" w:rsidRDefault="00CD13FC" w:rsidP="00CD13FC">
      <w:pPr>
        <w:numPr>
          <w:ilvl w:val="0"/>
          <w:numId w:val="6"/>
        </w:numPr>
        <w:shd w:val="clear" w:color="auto" w:fill="FFFFFF"/>
        <w:ind w:left="744"/>
        <w:textAlignment w:val="baseline"/>
        <w:rPr>
          <w:rFonts w:ascii="Arial" w:hAnsi="Arial" w:cs="Arial"/>
          <w:color w:val="333333"/>
          <w:lang w:eastAsia="en-GB"/>
        </w:rPr>
      </w:pPr>
      <w:r w:rsidRPr="00CD13FC">
        <w:rPr>
          <w:rFonts w:ascii="Arial" w:hAnsi="Arial" w:cs="Arial"/>
          <w:color w:val="333333"/>
          <w:lang w:eastAsia="en-GB"/>
        </w:rPr>
        <w:t>Supervision should address the risk of confirmation bias – ie, the temptation to accept only views that accord with one’s own preconceptions and thereby confirm one’s own interpretation of a situation.</w:t>
      </w:r>
    </w:p>
    <w:p w:rsidR="00CD13FC" w:rsidRPr="00CD13FC" w:rsidRDefault="00CD13FC" w:rsidP="00CD13FC">
      <w:pPr>
        <w:shd w:val="clear" w:color="auto" w:fill="FFFFFF"/>
        <w:textAlignment w:val="baseline"/>
        <w:rPr>
          <w:rFonts w:ascii="Arial" w:hAnsi="Arial" w:cs="Arial"/>
          <w:color w:val="333333"/>
          <w:lang w:eastAsia="en-GB"/>
        </w:rPr>
      </w:pPr>
    </w:p>
    <w:p w:rsidR="00CD13FC" w:rsidRDefault="00CD13FC" w:rsidP="00CD13FC">
      <w:pPr>
        <w:numPr>
          <w:ilvl w:val="0"/>
          <w:numId w:val="6"/>
        </w:numPr>
        <w:shd w:val="clear" w:color="auto" w:fill="FFFFFF"/>
        <w:ind w:left="744"/>
        <w:textAlignment w:val="baseline"/>
        <w:rPr>
          <w:rFonts w:ascii="Arial" w:hAnsi="Arial" w:cs="Arial"/>
          <w:color w:val="333333"/>
          <w:lang w:eastAsia="en-GB"/>
        </w:rPr>
      </w:pPr>
      <w:r w:rsidRPr="00CD13FC">
        <w:rPr>
          <w:rFonts w:ascii="Arial" w:hAnsi="Arial" w:cs="Arial"/>
          <w:color w:val="333333"/>
          <w:lang w:eastAsia="en-GB"/>
        </w:rPr>
        <w:t>Supervision can be particularly important in providing challenge in the case of families who have been known to the service for years, allowing the facts to be viewed from a different perspective.</w:t>
      </w:r>
    </w:p>
    <w:p w:rsidR="00CD13FC" w:rsidRPr="00CD13FC" w:rsidRDefault="00CD13FC" w:rsidP="00CD13FC">
      <w:pPr>
        <w:shd w:val="clear" w:color="auto" w:fill="FFFFFF"/>
        <w:textAlignment w:val="baseline"/>
        <w:rPr>
          <w:rFonts w:ascii="Arial" w:hAnsi="Arial" w:cs="Arial"/>
          <w:color w:val="333333"/>
          <w:lang w:eastAsia="en-GB"/>
        </w:rPr>
      </w:pPr>
    </w:p>
    <w:p w:rsidR="00CD13FC" w:rsidRPr="00CD13FC" w:rsidRDefault="00CD13FC" w:rsidP="00CD13FC">
      <w:pPr>
        <w:numPr>
          <w:ilvl w:val="0"/>
          <w:numId w:val="6"/>
        </w:numPr>
        <w:shd w:val="clear" w:color="auto" w:fill="FFFFFF"/>
        <w:ind w:left="744"/>
        <w:textAlignment w:val="baseline"/>
        <w:rPr>
          <w:rFonts w:ascii="Arial" w:hAnsi="Arial" w:cs="Arial"/>
          <w:color w:val="333333"/>
          <w:lang w:eastAsia="en-GB"/>
        </w:rPr>
      </w:pPr>
      <w:r w:rsidRPr="00CD13FC">
        <w:rPr>
          <w:rFonts w:ascii="Arial" w:hAnsi="Arial" w:cs="Arial"/>
          <w:color w:val="333333"/>
          <w:lang w:eastAsia="en-GB"/>
        </w:rPr>
        <w:t>Supervision must provide space to explore the impact of the work on the practitioner’s wellbeing – including any feelings of powerlessness, frustration, guilt and anxiety. The aim is to ensure practitioners are supported and protected to work with families and the overwhelming feelings such work often evokes.</w:t>
      </w:r>
    </w:p>
    <w:p w:rsidR="00CD13FC" w:rsidRPr="00CD13FC" w:rsidRDefault="00CD13FC" w:rsidP="00CD13FC">
      <w:pPr>
        <w:rPr>
          <w:rFonts w:ascii="Arial" w:hAnsi="Arial" w:cs="Arial"/>
          <w:b/>
          <w:bCs/>
          <w:color w:val="002060"/>
          <w:sz w:val="28"/>
          <w:szCs w:val="28"/>
        </w:rPr>
      </w:pPr>
    </w:p>
    <w:p w:rsidR="00CD13FC" w:rsidRDefault="00CD13FC" w:rsidP="00CD13FC">
      <w:pPr>
        <w:rPr>
          <w:rFonts w:ascii="Arial" w:hAnsi="Arial" w:cs="Arial"/>
          <w:b/>
          <w:bCs/>
          <w:color w:val="002060"/>
        </w:rPr>
      </w:pPr>
    </w:p>
    <w:p w:rsidR="00147945" w:rsidRDefault="00147945" w:rsidP="00147945">
      <w:pPr>
        <w:rPr>
          <w:rFonts w:ascii="Arial" w:hAnsi="Arial" w:cs="Arial"/>
        </w:rPr>
      </w:pPr>
    </w:p>
    <w:p w:rsidR="00F02952" w:rsidRDefault="00F02952"/>
    <w:sectPr w:rsidR="00F02952" w:rsidSect="009C7709">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51C" w:rsidRDefault="0065751C" w:rsidP="0065751C">
      <w:r>
        <w:separator/>
      </w:r>
    </w:p>
  </w:endnote>
  <w:endnote w:type="continuationSeparator" w:id="0">
    <w:p w:rsidR="0065751C" w:rsidRDefault="0065751C" w:rsidP="0065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3FC" w:rsidRDefault="00CD1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3FC" w:rsidRDefault="00CD1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3FC" w:rsidRDefault="00CD1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51C" w:rsidRDefault="0065751C" w:rsidP="0065751C">
      <w:r>
        <w:separator/>
      </w:r>
    </w:p>
  </w:footnote>
  <w:footnote w:type="continuationSeparator" w:id="0">
    <w:p w:rsidR="0065751C" w:rsidRDefault="0065751C" w:rsidP="00657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3FC" w:rsidRDefault="00CD1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51C" w:rsidRDefault="0065751C">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945" cy="252095"/>
              <wp:effectExtent l="0" t="0" r="0" b="14605"/>
              <wp:wrapNone/>
              <wp:docPr id="1" name="MSIPCMead94b5cb2716b9edffde9eb" descr="{&quot;HashCode&quot;:51021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5751C" w:rsidRPr="0065751C" w:rsidRDefault="0065751C" w:rsidP="0065751C">
                          <w:pPr>
                            <w:rPr>
                              <w:rFonts w:ascii="Arial" w:hAnsi="Arial" w:cs="Arial"/>
                              <w:color w:val="000000"/>
                            </w:rPr>
                          </w:pPr>
                          <w:r w:rsidRPr="0065751C">
                            <w:rPr>
                              <w:rFonts w:ascii="Arial" w:hAnsi="Arial" w:cs="Arial"/>
                              <w:color w:val="000000"/>
                            </w:rPr>
                            <w:t>OFFICIAL:SENSITIVE</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ad94b5cb2716b9edffde9eb" o:spid="_x0000_s1027" type="#_x0000_t202" alt="{&quot;HashCode&quot;:51021198,&quot;Height&quot;:841.0,&quot;Width&quot;:595.0,&quot;Placement&quot;:&quot;Header&quot;,&quot;Index&quot;:&quot;Primary&quot;,&quot;Section&quot;:1,&quot;Top&quot;:0.0,&quot;Left&quot;:0.0}" style="position:absolute;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" o:allowincell="f" filled="f" stroked="f" strokeweight=".5pt">
              <v:textbox inset="20pt,0,,0">
                <w:txbxContent>
                  <w:p w:rsidR="0065751C" w:rsidRPr="0065751C" w:rsidRDefault="0065751C" w:rsidP="0065751C">
                    <w:pPr>
                      <w:rPr>
                        <w:rFonts w:ascii="Arial" w:hAnsi="Arial" w:cs="Arial"/>
                        <w:color w:val="000000"/>
                      </w:rPr>
                    </w:pPr>
                    <w:r w:rsidRPr="0065751C">
                      <w:rPr>
                        <w:rFonts w:ascii="Arial" w:hAnsi="Arial" w:cs="Arial"/>
                        <w:color w:val="000000"/>
                      </w:rPr>
                      <w:t>OFFICIAL:SENSITIVE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3FC" w:rsidRDefault="00CD1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20009"/>
    <w:multiLevelType w:val="hybridMultilevel"/>
    <w:tmpl w:val="283034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47B51BDC"/>
    <w:multiLevelType w:val="multilevel"/>
    <w:tmpl w:val="FA4848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A75C61"/>
    <w:multiLevelType w:val="hybridMultilevel"/>
    <w:tmpl w:val="744E50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7DDB0279"/>
    <w:multiLevelType w:val="hybridMultilevel"/>
    <w:tmpl w:val="6EDEB6E8"/>
    <w:lvl w:ilvl="0" w:tplc="6F520A10">
      <w:start w:val="1"/>
      <w:numFmt w:val="decimal"/>
      <w:lvlText w:val="%1."/>
      <w:lvlJc w:val="left"/>
      <w:pPr>
        <w:ind w:left="360" w:hanging="360"/>
      </w:pPr>
      <w:rPr>
        <w:b/>
        <w:color w:val="002060"/>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7F495BE5"/>
    <w:multiLevelType w:val="hybridMultilevel"/>
    <w:tmpl w:val="66D43E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D3"/>
    <w:rsid w:val="00020C02"/>
    <w:rsid w:val="000C03E3"/>
    <w:rsid w:val="000E3CEB"/>
    <w:rsid w:val="00133F79"/>
    <w:rsid w:val="00147945"/>
    <w:rsid w:val="001A32B8"/>
    <w:rsid w:val="001F5ADD"/>
    <w:rsid w:val="00266962"/>
    <w:rsid w:val="00393E75"/>
    <w:rsid w:val="005244D7"/>
    <w:rsid w:val="0063052B"/>
    <w:rsid w:val="006564D3"/>
    <w:rsid w:val="0065751C"/>
    <w:rsid w:val="006B624E"/>
    <w:rsid w:val="00856345"/>
    <w:rsid w:val="00880FAB"/>
    <w:rsid w:val="008B32A8"/>
    <w:rsid w:val="009C7709"/>
    <w:rsid w:val="00AC3776"/>
    <w:rsid w:val="00BB10F4"/>
    <w:rsid w:val="00BB53E7"/>
    <w:rsid w:val="00C55515"/>
    <w:rsid w:val="00CD13FC"/>
    <w:rsid w:val="00CF162C"/>
    <w:rsid w:val="00E71853"/>
    <w:rsid w:val="00E73041"/>
    <w:rsid w:val="00F02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02D28C1"/>
  <w15:chartTrackingRefBased/>
  <w15:docId w15:val="{D7885634-49DD-4393-9A89-4D76B185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345"/>
    <w:rPr>
      <w:rFonts w:ascii="Gill Sans MT" w:hAnsi="Gill Sans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4D3"/>
    <w:rPr>
      <w:color w:val="0000FF"/>
      <w:u w:val="single"/>
    </w:rPr>
  </w:style>
  <w:style w:type="paragraph" w:styleId="Header">
    <w:name w:val="header"/>
    <w:basedOn w:val="Normal"/>
    <w:link w:val="HeaderChar"/>
    <w:unhideWhenUsed/>
    <w:rsid w:val="0065751C"/>
    <w:pPr>
      <w:tabs>
        <w:tab w:val="center" w:pos="4513"/>
        <w:tab w:val="right" w:pos="9026"/>
      </w:tabs>
    </w:pPr>
  </w:style>
  <w:style w:type="character" w:customStyle="1" w:styleId="HeaderChar">
    <w:name w:val="Header Char"/>
    <w:basedOn w:val="DefaultParagraphFont"/>
    <w:link w:val="Header"/>
    <w:rsid w:val="0065751C"/>
    <w:rPr>
      <w:rFonts w:ascii="Gill Sans MT" w:hAnsi="Gill Sans MT"/>
      <w:sz w:val="24"/>
      <w:szCs w:val="24"/>
      <w:lang w:eastAsia="en-US"/>
    </w:rPr>
  </w:style>
  <w:style w:type="paragraph" w:styleId="Footer">
    <w:name w:val="footer"/>
    <w:basedOn w:val="Normal"/>
    <w:link w:val="FooterChar"/>
    <w:unhideWhenUsed/>
    <w:rsid w:val="0065751C"/>
    <w:pPr>
      <w:tabs>
        <w:tab w:val="center" w:pos="4513"/>
        <w:tab w:val="right" w:pos="9026"/>
      </w:tabs>
    </w:pPr>
  </w:style>
  <w:style w:type="character" w:customStyle="1" w:styleId="FooterChar">
    <w:name w:val="Footer Char"/>
    <w:basedOn w:val="DefaultParagraphFont"/>
    <w:link w:val="Footer"/>
    <w:rsid w:val="0065751C"/>
    <w:rPr>
      <w:rFonts w:ascii="Gill Sans MT" w:hAnsi="Gill Sans MT"/>
      <w:sz w:val="24"/>
      <w:szCs w:val="24"/>
      <w:lang w:eastAsia="en-US"/>
    </w:rPr>
  </w:style>
  <w:style w:type="paragraph" w:styleId="ListParagraph">
    <w:name w:val="List Paragraph"/>
    <w:basedOn w:val="Normal"/>
    <w:uiPriority w:val="34"/>
    <w:qFormat/>
    <w:rsid w:val="00F02952"/>
    <w:pPr>
      <w:ind w:left="720"/>
    </w:pPr>
    <w:rPr>
      <w:rFonts w:ascii="Calibri" w:eastAsiaTheme="minorHAnsi" w:hAnsi="Calibri" w:cs="Calibri"/>
      <w:sz w:val="22"/>
      <w:szCs w:val="22"/>
    </w:rPr>
  </w:style>
  <w:style w:type="character" w:styleId="FollowedHyperlink">
    <w:name w:val="FollowedHyperlink"/>
    <w:basedOn w:val="DefaultParagraphFont"/>
    <w:semiHidden/>
    <w:unhideWhenUsed/>
    <w:rsid w:val="00AC37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43129">
      <w:bodyDiv w:val="1"/>
      <w:marLeft w:val="0"/>
      <w:marRight w:val="0"/>
      <w:marTop w:val="0"/>
      <w:marBottom w:val="0"/>
      <w:divBdr>
        <w:top w:val="none" w:sz="0" w:space="0" w:color="auto"/>
        <w:left w:val="none" w:sz="0" w:space="0" w:color="auto"/>
        <w:bottom w:val="none" w:sz="0" w:space="0" w:color="auto"/>
        <w:right w:val="none" w:sz="0" w:space="0" w:color="auto"/>
      </w:divBdr>
    </w:div>
    <w:div w:id="171137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231</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Caroline</dc:creator>
  <cp:keywords/>
  <dc:description/>
  <cp:lastModifiedBy>Wilson, Caroline</cp:lastModifiedBy>
  <cp:revision>3</cp:revision>
  <dcterms:created xsi:type="dcterms:W3CDTF">2020-09-22T12:12:00Z</dcterms:created>
  <dcterms:modified xsi:type="dcterms:W3CDTF">2020-09-22T12:38:00Z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7318c2-6b86-43df-b189-c92fcad1cee5_Enabled">
    <vt:lpwstr>true</vt:lpwstr>
  </property>
  <property fmtid="{D5CDD505-2E9C-101B-9397-08002B2CF9AE}" pid="3" name="MSIP_Label_d57318c2-6b86-43df-b189-c92fcad1cee5_SetDate">
    <vt:lpwstr>2020-08-17T14:16:05Z</vt:lpwstr>
  </property>
  <property fmtid="{D5CDD505-2E9C-101B-9397-08002B2CF9AE}" pid="4" name="MSIP_Label_d57318c2-6b86-43df-b189-c92fcad1cee5_Method">
    <vt:lpwstr>Privileged</vt:lpwstr>
  </property>
  <property fmtid="{D5CDD505-2E9C-101B-9397-08002B2CF9AE}" pid="5" name="MSIP_Label_d57318c2-6b86-43df-b189-c92fcad1cee5_Name">
    <vt:lpwstr>d57318c2-6b86-43df-b189-c92fcad1cee5</vt:lpwstr>
  </property>
  <property fmtid="{D5CDD505-2E9C-101B-9397-08002B2CF9AE}" pid="6" name="MSIP_Label_d57318c2-6b86-43df-b189-c92fcad1cee5_SiteId">
    <vt:lpwstr>a9a3c3d1-fc0f-4943-bc2a-d73e388cc2df</vt:lpwstr>
  </property>
  <property fmtid="{D5CDD505-2E9C-101B-9397-08002B2CF9AE}" pid="7" name="MSIP_Label_d57318c2-6b86-43df-b189-c92fcad1cee5_ActionId">
    <vt:lpwstr>26f48544-2d8c-4bab-a6bd-0000eb43adf9</vt:lpwstr>
  </property>
  <property fmtid="{D5CDD505-2E9C-101B-9397-08002B2CF9AE}" pid="8" name="MSIP_Label_d57318c2-6b86-43df-b189-c92fcad1cee5_ContentBits">
    <vt:lpwstr>1</vt:lpwstr>
  </property>
</Properties>
</file>